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80" w:after="120"/>
        <w:jc w:val="center"/>
      </w:pPr>
      <w:r>
        <w:rPr>
          <w:rFonts w:ascii="Arial" w:cs="Arial" w:eastAsia="Arial" w:hAnsi="Arial"/>
          <w:b/>
          <w:bCs/>
          <w:color w:val="0A1628"/>
          <w:sz w:val="48"/>
          <w:szCs w:val="48"/>
        </w:rPr>
        <w:t xml:space="preserve">BATCHCORTEX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4A90D9"/>
          <w:sz w:val="32"/>
          <w:szCs w:val="32"/>
        </w:rPr>
        <w:t xml:space="preserve">Supplier Quality Assessment Pack</w:t>
      </w:r>
    </w:p>
    <w:p>
      <w:pPr>
        <w:spacing w:before="0" w:after="4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Version 1.0  |  20 February 2026  |  Confidential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 Field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Document Title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Supplier Quality Assessment — BatchCortex Platform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Document Number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BC-SQA-001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 February 2026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Classification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GxP — Confidential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Prepared By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Vilmer Frost, Founder &amp; CEO, BatchCortex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Applicable Regulations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EU GMP Annex 11 (2025 Draft), Annex 22 (2025 Draft), 21 CFR Part 11, GAMP 5 Second Edition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1. Company Overview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BatchCortex is a Swedish software company developing GMP-compliant AI batch monitoring infrastructure for pharmaceutical manufacturers. The company is incorporated in Stockholm, Sweden, operating under Swedish law and subject to EU regulatory frameworks.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Company Name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BatchCortex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Registered Country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Sweden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Primary Contact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Vilmer Frost — vilmer@batchcortex.com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Website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batchcortex.com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Product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BatchCortex — AI Batch Monitoring Platform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GAMP 5 Classification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Category 4/5 — Configurable/Custom Application with GMP Impact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2. Quality System Declaration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BatchCortex operates under a documented quality framework aligned with GAMP 5 Second Edition principles and EU GMP Annex 11 requirements. The following controls are in place: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2.1 Software Development Controls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Version-controlled codebase using Git with enforced branching strategy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Change control procedure: all production releases reviewed before deployment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Semantic versioning applied to all releases (MAJOR.MINOR.PATCH)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Automated testing suite covering critical GMP functions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Sentry application monitoring for real-time error detection across all critical routes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2.2 Data Integrity Controls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Immutable audit trail — all records are insert-only; no deletion permitted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Electronic signatures implemented per 21 CFR Part 11 and Annex 11 requirements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ALCOA+ compliance: all data is Attributable, Legible, Contemporaneous, Original, Accurate, Complete, Consistent, Enduring, and Available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Cryptographic hash verification on all signed batch records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Store-and-forward buffering (SQLite) ensures no data loss during connectivity interruption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2.3 Access Controls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Role-based access control (RBAC) with principle of least privilege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Multi-tenant architecture with Row-Level Security (RLS) ensuring data isolation between organisations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All authentication via secure session tokens with expiry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All API endpoints authenticated; escalation trigger endpoint protected by shared secret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2.4 Infrastructure &amp; Security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Hosted on Supabase EU region (Frankfurt) — data does not leave the EU/EEA for core processing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All data in transit encrypted via TLS 1.3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All data at rest encrypted (AES-256)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Planned transition to Berget AI (Swedish sovereign infrastructure) for AI inference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OPC-UA edge client operates in read-only mode — cannot write to customer production equipment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2.5 Business Continuity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Edge agent operates continuously with automatic OPC-UA reconnection (exponential backoff)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Local SQLite buffer prevents data gaps during cloud connectivity interruption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Sentry monitoring alerts BatchCortex team of production incidents before customers are affected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Supabase daily automated backups with point-in-time recovery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3. AI System Governance (Annex 22 Compliance)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BatchCortex uses AI/ML for anomaly detection in batch process data. The following governance measures comply with the EU GMP Annex 22 draft requirements: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26"/>
        <w:gridCol w:w="20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BatchCortex Implementation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Intended use defined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Anomaly detection in critical process parameters (temperature, pressure, RPM). Not for batch release decisions.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Compliant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Fixed/deterministic model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Isolation Forest (static, validated model). Model does not self-update in production.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Compliant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Human oversight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Ghost Operator architecture: AI detects and drafts, human QA approves. No autonomous batch release.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Compliant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Generative AI scope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Claude API used for deviation report drafting only. Human QA reviews and electronically signs all reports.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Compliant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Performance monitoring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QA feedback loop records analyst decisions for model drift monitoring.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Compliant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Training data quality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Simulation data validated against real process parameters. Customer data used only with consent.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Compliant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Change control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Model version tracked. Significant model changes trigger re-validation notification to customers.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Compliant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4. Sub-Processor Disclosure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BatchCortex engages the following sub-processors in the delivery of the platform: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526"/>
        <w:gridCol w:w="25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Supplier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Country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Processed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Supabase Inc.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EU (Frankfurt)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Database &amp; Authentication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Batch records, sensor data, user accounts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Anthropic PBC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USA (via API)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AI Report Generation (draft only)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Anonymised process parameters for report drafting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Berget AI (planned)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Sweden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Sovereign AI Inference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Process parameters — no personal data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Twilio Inc.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SMS/Voice Escalation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Phone numbers (with explicit consent)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Sentry (Functional Software)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Error Monitoring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logs, stack traces — no batch data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Vercel Inc.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EU edge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Frontend Hosting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personal or batch data stored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Resend Inc.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Transactional 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Email addresses only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5. Documentation Available to Customers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The following documentation is available to support customer validation activities: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4026"/>
        <w:gridCol w:w="15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Reference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Supplier Quality Assessment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This document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BC-SQA-001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Validation Support Package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IQ/OQ template protocols for customer execution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BC-VSP-001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Change Control SOP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How software updates are managed and communicated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BC-SOP-CC-001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Functional Risk Assessment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GMP risk classification of each system function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BC-FRA-001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Traceability Matrix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Requirements mapped to test evidence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Included in VSP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EU AI Act Classification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Formal limited-risk classification rationale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Available on batchcortex.com/legal/ai-act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Data Processing Agreement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GDPR Article 28 DPA template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Available on batchcortex.com/legal/dpa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6. Authorisation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26"/>
        <w:gridCol w:w="25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Prepared By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Vilmer Frost, Founder &amp; CEO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 February 2026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Document Number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BC-SQA-001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Version 1.0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Next Review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 February 2027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Annual review cycle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This document is controlled. For the latest version, contact vilmer@batchcortex.com.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A1628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A162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2026-02-20T19:59:53.318Z</dcterms:created>
  <dcterms:modified xsi:type="dcterms:W3CDTF">2026-02-20T19:59:53.318Z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